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360" w:lineRule="aut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>Paper Midrash</w:t>
      </w:r>
    </w:p>
    <w:p>
      <w:pPr>
        <w:pStyle w:val="Body"/>
        <w:spacing w:line="360" w:lineRule="auto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Promotional text</w:t>
      </w:r>
    </w:p>
    <w:p>
      <w:pPr>
        <w:pStyle w:val="Body"/>
        <w:spacing w:line="360" w:lineRule="auto"/>
        <w:rPr>
          <w:sz w:val="18"/>
          <w:szCs w:val="18"/>
        </w:rPr>
      </w:pPr>
    </w:p>
    <w:p>
      <w:pPr>
        <w:pStyle w:val="Body"/>
        <w:spacing w:line="360" w:lineRule="auto"/>
        <w:jc w:val="left"/>
      </w:pPr>
    </w:p>
    <w:p>
      <w:pPr>
        <w:pStyle w:val="Body"/>
        <w:spacing w:line="360" w:lineRule="auto"/>
        <w:jc w:val="left"/>
      </w:pPr>
      <w:r>
        <w:rPr>
          <w:rtl w:val="0"/>
          <w:lang w:val="en-US"/>
        </w:rPr>
        <w:t>Please note that this is a compilation of language for all of the various programs we offer, and 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re likely not doing everything here with your community. Please make sure you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re only promoting the programs 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going to be doing </w:t>
      </w:r>
      <w:r>
        <w:rPr>
          <w:rtl w:val="0"/>
          <w:lang w:val="en-US"/>
        </w:rPr>
        <w:t>– </w:t>
      </w:r>
      <w:r>
        <w:rPr>
          <w:rtl w:val="0"/>
          <w:lang w:val="en-US"/>
        </w:rPr>
        <w:t>for example, if 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not doing a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Women of Valor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program, don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t promote a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Women of Valor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program. 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d be glad to work with you to customize language and materials for our visit to your community; just ask.</w:t>
      </w:r>
    </w:p>
    <w:p>
      <w:pPr>
        <w:pStyle w:val="Body"/>
        <w:spacing w:line="360" w:lineRule="auto"/>
        <w:jc w:val="left"/>
      </w:pPr>
    </w:p>
    <w:p>
      <w:pPr>
        <w:pStyle w:val="Body"/>
        <w:spacing w:line="360" w:lineRule="auto"/>
        <w:jc w:val="left"/>
      </w:pPr>
      <w:r>
        <w:rPr>
          <w:rtl w:val="0"/>
          <w:lang w:val="de-DE"/>
        </w:rPr>
        <w:t>We</w:t>
      </w:r>
      <w:r>
        <w:rPr>
          <w:rtl w:val="1"/>
        </w:rPr>
        <w:t>’</w:t>
      </w:r>
      <w:r>
        <w:rPr>
          <w:rtl w:val="0"/>
          <w:lang w:val="en-US"/>
        </w:rPr>
        <w:t>ve found that different audiences respond to different approaches, so we</w:t>
      </w:r>
      <w:r>
        <w:rPr>
          <w:rtl w:val="1"/>
        </w:rPr>
        <w:t>’</w:t>
      </w:r>
      <w:r>
        <w:rPr>
          <w:rtl w:val="0"/>
          <w:lang w:val="en-US"/>
        </w:rPr>
        <w:t xml:space="preserve">ve put together a few example titles and promotional phrases that you can use </w:t>
      </w:r>
      <w:r>
        <w:rPr>
          <w:rtl w:val="0"/>
          <w:lang w:val="ru-RU"/>
        </w:rPr>
        <w:t>— </w:t>
      </w:r>
      <w:r>
        <w:rPr>
          <w:rtl w:val="0"/>
          <w:lang w:val="en-US"/>
        </w:rPr>
        <w:t xml:space="preserve">or feel free to make your own! Consider including onomatopoeia like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 xml:space="preserve">POW!" and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WHAM!</w:t>
      </w:r>
      <w:r>
        <w:rPr>
          <w:rtl w:val="0"/>
        </w:rPr>
        <w:t>”</w:t>
      </w:r>
      <w:r>
        <w:rPr>
          <w:rtl w:val="0"/>
          <w:lang w:val="en-US"/>
        </w:rPr>
        <w:t>, and graphic elements such as comic book textures and speech bubbles (available as free clip art from various websites).</w:t>
      </w:r>
    </w:p>
    <w:p>
      <w:pPr>
        <w:pStyle w:val="Body"/>
        <w:spacing w:line="360" w:lineRule="auto"/>
        <w:jc w:val="left"/>
      </w:pPr>
    </w:p>
    <w:p>
      <w:pPr>
        <w:pStyle w:val="Body"/>
        <w:numPr>
          <w:ilvl w:val="0"/>
          <w:numId w:val="2"/>
        </w:numPr>
        <w:spacing w:line="360" w:lineRule="auto"/>
        <w:jc w:val="left"/>
      </w:pPr>
      <w:r>
        <w:rPr>
          <w:rtl w:val="0"/>
        </w:rPr>
        <w:t>Paper Midrash</w:t>
      </w:r>
    </w:p>
    <w:p>
      <w:pPr>
        <w:pStyle w:val="Body"/>
        <w:numPr>
          <w:ilvl w:val="0"/>
          <w:numId w:val="2"/>
        </w:numPr>
        <w:spacing w:line="360" w:lineRule="auto"/>
        <w:jc w:val="left"/>
        <w:rPr>
          <w:lang w:val="en-US"/>
        </w:rPr>
      </w:pPr>
      <w:r>
        <w:rPr>
          <w:rtl w:val="0"/>
          <w:lang w:val="en-US"/>
        </w:rPr>
        <w:t xml:space="preserve">Join the Dynamic Duo for a Weekend of </w:t>
      </w:r>
      <w:r>
        <w:rPr>
          <w:rtl w:val="1"/>
          <w:lang w:val="ar-SA" w:bidi="ar-SA"/>
        </w:rPr>
        <w:t>“</w:t>
      </w:r>
      <w:r>
        <w:rPr>
          <w:rtl w:val="0"/>
          <w:lang w:val="it-IT"/>
        </w:rPr>
        <w:t>Pop Culture Torah</w:t>
      </w:r>
      <w:r>
        <w:rPr>
          <w:rtl w:val="0"/>
        </w:rPr>
        <w:t>”</w:t>
      </w:r>
    </w:p>
    <w:p>
      <w:pPr>
        <w:pStyle w:val="Body"/>
        <w:numPr>
          <w:ilvl w:val="0"/>
          <w:numId w:val="2"/>
        </w:numPr>
        <w:spacing w:line="360" w:lineRule="auto"/>
        <w:jc w:val="left"/>
        <w:rPr>
          <w:lang w:val="en-US"/>
        </w:rPr>
      </w:pPr>
      <w:r>
        <w:rPr>
          <w:rtl w:val="0"/>
          <w:lang w:val="en-US"/>
        </w:rPr>
        <w:t>Pop Culture Torah &amp; Jewish Fan Fiction</w:t>
      </w:r>
    </w:p>
    <w:p>
      <w:pPr>
        <w:pStyle w:val="Body"/>
        <w:numPr>
          <w:ilvl w:val="0"/>
          <w:numId w:val="2"/>
        </w:numPr>
        <w:spacing w:line="360" w:lineRule="auto"/>
        <w:jc w:val="left"/>
        <w:rPr>
          <w:lang w:val="en-US"/>
        </w:rPr>
      </w:pPr>
      <w:r>
        <w:rPr>
          <w:rtl w:val="0"/>
          <w:lang w:val="en-US"/>
        </w:rPr>
        <w:t>Isaac &amp; Rabbi Shawna Brynjegard-Bialik have a powerful one-two punch,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bringing together contemporary art, pop culture, and scholarship</w:t>
      </w:r>
    </w:p>
    <w:p>
      <w:pPr>
        <w:pStyle w:val="Body"/>
        <w:numPr>
          <w:ilvl w:val="0"/>
          <w:numId w:val="2"/>
        </w:numPr>
        <w:spacing w:line="360" w:lineRule="auto"/>
        <w:jc w:val="left"/>
        <w:rPr>
          <w:lang w:val="en-US"/>
        </w:rPr>
      </w:pPr>
      <w:r>
        <w:rPr>
          <w:rtl w:val="0"/>
          <w:lang w:val="en-US"/>
        </w:rPr>
        <w:t>Worship, Create, and Study with Isaac &amp; Rabbi Shawna Brynjegard-Bialik</w:t>
      </w:r>
    </w:p>
    <w:p>
      <w:pPr>
        <w:pStyle w:val="Body"/>
        <w:numPr>
          <w:ilvl w:val="0"/>
          <w:numId w:val="2"/>
        </w:numPr>
        <w:spacing w:line="360" w:lineRule="auto"/>
        <w:jc w:val="left"/>
        <w:rPr>
          <w:lang w:val="en-US"/>
        </w:rPr>
      </w:pPr>
      <w:r>
        <w:rPr>
          <w:rtl w:val="0"/>
          <w:lang w:val="en-US"/>
        </w:rPr>
        <w:t>[Your organization name here] is excited to welcome this husband-and-wife team for a weekend of hands-on learning!</w:t>
      </w:r>
    </w:p>
    <w:p>
      <w:pPr>
        <w:pStyle w:val="Body"/>
        <w:numPr>
          <w:ilvl w:val="0"/>
          <w:numId w:val="2"/>
        </w:numPr>
        <w:spacing w:line="360" w:lineRule="auto"/>
        <w:jc w:val="left"/>
        <w:rPr>
          <w:lang w:val="en-US"/>
        </w:rPr>
      </w:pPr>
      <w:r>
        <w:rPr>
          <w:rtl w:val="0"/>
          <w:lang w:val="en-US"/>
        </w:rPr>
        <w:t>Create Meaningful Midrash Through Art</w:t>
      </w:r>
    </w:p>
    <w:p>
      <w:pPr>
        <w:pStyle w:val="Body"/>
        <w:numPr>
          <w:ilvl w:val="0"/>
          <w:numId w:val="2"/>
        </w:numPr>
        <w:spacing w:line="360" w:lineRule="auto"/>
        <w:jc w:val="left"/>
        <w:rPr>
          <w:lang w:val="en-US"/>
        </w:rPr>
      </w:pPr>
      <w:r>
        <w:rPr>
          <w:rtl w:val="0"/>
          <w:lang w:val="en-US"/>
        </w:rPr>
        <w:t>Join us for a hands-on papercutting workshop where you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ll have the opportunity to to study text and create your own visual midrash.</w:t>
      </w:r>
    </w:p>
    <w:p>
      <w:pPr>
        <w:pStyle w:val="Body"/>
        <w:numPr>
          <w:ilvl w:val="0"/>
          <w:numId w:val="2"/>
        </w:numPr>
        <w:spacing w:line="360" w:lineRule="auto"/>
        <w:jc w:val="left"/>
        <w:rPr>
          <w:lang w:val="en-US"/>
        </w:rPr>
      </w:pPr>
      <w:r>
        <w:rPr>
          <w:rtl w:val="0"/>
          <w:lang w:val="en-US"/>
        </w:rPr>
        <w:t xml:space="preserve">No experience necessary 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you don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t have to know how to paint or draw</w:t>
      </w:r>
    </w:p>
    <w:p>
      <w:pPr>
        <w:pStyle w:val="Body"/>
        <w:numPr>
          <w:ilvl w:val="0"/>
          <w:numId w:val="2"/>
        </w:numPr>
        <w:spacing w:line="360" w:lineRule="auto"/>
        <w:jc w:val="left"/>
        <w:rPr>
          <w:lang w:val="en-US"/>
        </w:rPr>
      </w:pPr>
      <w:r>
        <w:rPr>
          <w:rtl w:val="0"/>
          <w:lang w:val="en-US"/>
        </w:rPr>
        <w:t>We bring the knives and comic books, you bring your enthusiasm!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spacing w:line="312" w:lineRule="auto"/>
      <w:jc w:val="left"/>
      <w:rPr>
        <w:sz w:val="16"/>
        <w:szCs w:val="16"/>
      </w:rPr>
    </w:pPr>
    <w:r>
      <w:rPr>
        <w:sz w:val="16"/>
        <w:szCs w:val="16"/>
        <w:rtl w:val="0"/>
        <w:lang w:val="en-US"/>
      </w:rPr>
      <w:t>For use only with permission of Isaac &amp; Rabbi Shawna Brynjegard-Bialik</w:t>
    </w:r>
  </w:p>
  <w:p>
    <w:pPr>
      <w:pStyle w:val="Header &amp; Footer"/>
      <w:tabs>
        <w:tab w:val="center" w:pos="4680"/>
        <w:tab w:val="right" w:pos="9360"/>
        <w:tab w:val="clear" w:pos="9020"/>
      </w:tabs>
      <w:spacing w:line="312" w:lineRule="auto"/>
      <w:jc w:val="left"/>
    </w:pPr>
    <w:r>
      <w:rPr>
        <w:sz w:val="16"/>
        <w:szCs w:val="16"/>
        <w:rtl w:val="0"/>
      </w:rPr>
      <w:t>www.</w:t>
    </w:r>
    <w:r>
      <w:rPr>
        <w:sz w:val="16"/>
        <w:szCs w:val="16"/>
        <w:rtl w:val="0"/>
        <w:lang w:val="en-US"/>
      </w:rPr>
      <w:t>PaperMidrash</w:t>
    </w:r>
    <w:r>
      <w:rPr>
        <w:sz w:val="16"/>
        <w:szCs w:val="16"/>
        <w:rtl w:val="0"/>
        <w:lang w:val="it-IT"/>
      </w:rPr>
      <w:t>.com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drawing xmlns:a="http://schemas.openxmlformats.org/drawingml/2006/main">
        <wp:inline distT="0" distB="0" distL="0" distR="0">
          <wp:extent cx="752792" cy="610628"/>
          <wp:effectExtent l="0" t="0" r="0" b="0"/>
          <wp:docPr id="1073741825" name="officeArt object" descr="Dynamic-Duo-ampersand-logo_2inch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Dynamic-Duo-ampersand-logo_2inch.png" descr="Dynamic-Duo-ampersand-logo_2inch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792" cy="61062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